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16BD" w:rsidRPr="00C0717C" w:rsidRDefault="00FA16BD" w:rsidP="00FA16BD">
      <w:pPr>
        <w:pStyle w:val="1"/>
        <w:numPr>
          <w:ilvl w:val="0"/>
          <w:numId w:val="0"/>
        </w:numPr>
      </w:pPr>
      <w:bookmarkStart w:id="0" w:name="_Toc347265107"/>
      <w:r>
        <w:t>Лекция 7</w:t>
      </w:r>
      <w:r w:rsidRPr="00C0717C">
        <w:t>. ПАРНАЯ РЕГРЕССИЯ И КОРРЕЛЯЦИЯ</w:t>
      </w:r>
      <w:bookmarkEnd w:id="0"/>
    </w:p>
    <w:p w:rsidR="00FA16BD" w:rsidRDefault="00FA16BD" w:rsidP="00FA16BD">
      <w:pPr>
        <w:autoSpaceDE w:val="0"/>
        <w:autoSpaceDN w:val="0"/>
        <w:adjustRightInd w:val="0"/>
        <w:ind w:left="57" w:firstLine="709"/>
        <w:jc w:val="both"/>
        <w:rPr>
          <w:sz w:val="28"/>
          <w:szCs w:val="22"/>
        </w:rPr>
      </w:pPr>
    </w:p>
    <w:p w:rsidR="00FA16BD" w:rsidRDefault="00FA16BD" w:rsidP="00FA16BD">
      <w:pPr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sz w:val="28"/>
          <w:szCs w:val="22"/>
        </w:rPr>
      </w:pPr>
      <w:r>
        <w:rPr>
          <w:sz w:val="28"/>
          <w:szCs w:val="22"/>
        </w:rPr>
        <w:t xml:space="preserve">Парная регрессия представляет собой регрессию между двумя переменными </w:t>
      </w:r>
      <w:proofErr w:type="gramStart"/>
      <w:r>
        <w:rPr>
          <w:sz w:val="28"/>
          <w:szCs w:val="22"/>
        </w:rPr>
        <w:t xml:space="preserve">– </w:t>
      </w:r>
      <w:r>
        <w:rPr>
          <w:position w:val="-12"/>
          <w:sz w:val="28"/>
          <w:szCs w:val="22"/>
        </w:rPr>
        <w:object w:dxaOrig="26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pt;height:16pt" o:ole="">
            <v:imagedata r:id="rId5" o:title=""/>
          </v:shape>
          <o:OLEObject Type="Embed" ProgID="Equation.DSMT4" ShapeID="_x0000_i1025" DrawAspect="Content" ObjectID="_1421185057" r:id="rId6"/>
        </w:object>
      </w:r>
      <w:r>
        <w:rPr>
          <w:sz w:val="28"/>
          <w:szCs w:val="22"/>
        </w:rPr>
        <w:t xml:space="preserve"> и</w:t>
      </w:r>
      <w:proofErr w:type="gramEnd"/>
      <w:r>
        <w:rPr>
          <w:sz w:val="28"/>
          <w:szCs w:val="22"/>
        </w:rPr>
        <w:t xml:space="preserve"> </w:t>
      </w:r>
      <w:r>
        <w:rPr>
          <w:position w:val="-6"/>
          <w:sz w:val="28"/>
          <w:szCs w:val="22"/>
        </w:rPr>
        <w:object w:dxaOrig="240" w:dyaOrig="260">
          <v:shape id="_x0000_i1026" type="#_x0000_t75" style="width:12pt;height:13pt" o:ole="">
            <v:imagedata r:id="rId7" o:title=""/>
          </v:shape>
          <o:OLEObject Type="Embed" ProgID="Equation.DSMT4" ShapeID="_x0000_i1026" DrawAspect="Content" ObjectID="_1421185058" r:id="rId8"/>
        </w:object>
      </w:r>
      <w:r>
        <w:rPr>
          <w:sz w:val="28"/>
          <w:szCs w:val="22"/>
        </w:rPr>
        <w:t>, т. е. модель вида:</w:t>
      </w:r>
    </w:p>
    <w:p w:rsidR="00FA16BD" w:rsidRDefault="00FA16BD" w:rsidP="00FA16BD">
      <w:pPr>
        <w:tabs>
          <w:tab w:val="left" w:pos="1134"/>
        </w:tabs>
        <w:autoSpaceDE w:val="0"/>
        <w:autoSpaceDN w:val="0"/>
        <w:adjustRightInd w:val="0"/>
        <w:jc w:val="center"/>
        <w:rPr>
          <w:sz w:val="28"/>
          <w:szCs w:val="22"/>
        </w:rPr>
      </w:pPr>
      <w:r>
        <w:rPr>
          <w:position w:val="-16"/>
          <w:sz w:val="28"/>
          <w:szCs w:val="22"/>
        </w:rPr>
        <w:object w:dxaOrig="1240" w:dyaOrig="540">
          <v:shape id="_x0000_i1033" type="#_x0000_t75" style="width:62pt;height:27pt" o:ole="">
            <v:imagedata r:id="rId9" o:title=""/>
          </v:shape>
          <o:OLEObject Type="Embed" ProgID="Equation.DSMT4" ShapeID="_x0000_i1033" DrawAspect="Content" ObjectID="_1421185059" r:id="rId10"/>
        </w:object>
      </w:r>
      <w:r>
        <w:rPr>
          <w:sz w:val="28"/>
          <w:szCs w:val="22"/>
        </w:rPr>
        <w:t>,</w:t>
      </w:r>
    </w:p>
    <w:p w:rsidR="00FA16BD" w:rsidRDefault="00FA16BD" w:rsidP="00FA16BD">
      <w:pPr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sz w:val="28"/>
        </w:rPr>
      </w:pPr>
      <w:proofErr w:type="gramStart"/>
      <w:r>
        <w:rPr>
          <w:sz w:val="28"/>
        </w:rPr>
        <w:t xml:space="preserve">где </w:t>
      </w:r>
      <w:r>
        <w:rPr>
          <w:position w:val="-12"/>
          <w:sz w:val="28"/>
        </w:rPr>
        <w:object w:dxaOrig="260" w:dyaOrig="320">
          <v:shape id="_x0000_i1034" type="#_x0000_t75" style="width:13pt;height:16pt" o:ole="">
            <v:imagedata r:id="rId5" o:title=""/>
          </v:shape>
          <o:OLEObject Type="Embed" ProgID="Equation.DSMT4" ShapeID="_x0000_i1034" DrawAspect="Content" ObjectID="_1421185060" r:id="rId11"/>
        </w:object>
      </w:r>
      <w:r>
        <w:rPr>
          <w:sz w:val="28"/>
        </w:rPr>
        <w:t xml:space="preserve"> –</w:t>
      </w:r>
      <w:proofErr w:type="gramEnd"/>
      <w:r>
        <w:rPr>
          <w:sz w:val="28"/>
        </w:rPr>
        <w:t xml:space="preserve"> зависимая переменная (результативный признак); </w:t>
      </w:r>
    </w:p>
    <w:p w:rsidR="00FA16BD" w:rsidRDefault="00FA16BD" w:rsidP="00FA16BD">
      <w:pPr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sz w:val="28"/>
        </w:rPr>
      </w:pPr>
      <w:r>
        <w:rPr>
          <w:position w:val="-6"/>
          <w:sz w:val="28"/>
        </w:rPr>
        <w:object w:dxaOrig="240" w:dyaOrig="260">
          <v:shape id="_x0000_i1035" type="#_x0000_t75" style="width:12pt;height:13pt" o:ole="">
            <v:imagedata r:id="rId7" o:title=""/>
          </v:shape>
          <o:OLEObject Type="Embed" ProgID="Equation.DSMT4" ShapeID="_x0000_i1035" DrawAspect="Content" ObjectID="_1421185061" r:id="rId12"/>
        </w:object>
      </w:r>
      <w:r>
        <w:rPr>
          <w:sz w:val="28"/>
        </w:rPr>
        <w:t xml:space="preserve"> – независимая, или объясняющая, переменная (признак-фактор). </w:t>
      </w:r>
    </w:p>
    <w:p w:rsidR="00FA16BD" w:rsidRDefault="00FA16BD" w:rsidP="00FA16BD">
      <w:pPr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sz w:val="28"/>
        </w:rPr>
      </w:pPr>
    </w:p>
    <w:p w:rsidR="00FA16BD" w:rsidRDefault="00FA16BD" w:rsidP="00FA16BD">
      <w:pPr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sz w:val="28"/>
        </w:rPr>
      </w:pPr>
      <w:r>
        <w:rPr>
          <w:sz w:val="28"/>
        </w:rPr>
        <w:t xml:space="preserve">Знак «^» означает, что между </w:t>
      </w:r>
      <w:proofErr w:type="gramStart"/>
      <w:r>
        <w:rPr>
          <w:sz w:val="28"/>
        </w:rPr>
        <w:t xml:space="preserve">переменными </w:t>
      </w:r>
      <w:r>
        <w:rPr>
          <w:position w:val="-6"/>
          <w:sz w:val="28"/>
        </w:rPr>
        <w:object w:dxaOrig="240" w:dyaOrig="260">
          <v:shape id="_x0000_i1036" type="#_x0000_t75" style="width:12pt;height:13pt" o:ole="">
            <v:imagedata r:id="rId13" o:title=""/>
          </v:shape>
          <o:OLEObject Type="Embed" ProgID="Equation.DSMT4" ShapeID="_x0000_i1036" DrawAspect="Content" ObjectID="_1421185062" r:id="rId14"/>
        </w:object>
      </w:r>
      <w:r>
        <w:rPr>
          <w:sz w:val="28"/>
        </w:rPr>
        <w:t xml:space="preserve"> и</w:t>
      </w:r>
      <w:proofErr w:type="gramEnd"/>
      <w:r>
        <w:rPr>
          <w:sz w:val="28"/>
        </w:rPr>
        <w:t xml:space="preserve"> </w:t>
      </w:r>
      <w:r>
        <w:rPr>
          <w:position w:val="-12"/>
          <w:sz w:val="28"/>
        </w:rPr>
        <w:object w:dxaOrig="260" w:dyaOrig="320">
          <v:shape id="_x0000_i1037" type="#_x0000_t75" style="width:13pt;height:16pt" o:ole="">
            <v:imagedata r:id="rId15" o:title=""/>
          </v:shape>
          <o:OLEObject Type="Embed" ProgID="Equation.DSMT4" ShapeID="_x0000_i1037" DrawAspect="Content" ObjectID="_1421185063" r:id="rId16"/>
        </w:object>
      </w:r>
      <w:r>
        <w:rPr>
          <w:sz w:val="28"/>
        </w:rPr>
        <w:t xml:space="preserve"> нет строгой функциональной зависимости, поэтому практически в каждом отдельном случае величина </w:t>
      </w:r>
      <w:r>
        <w:rPr>
          <w:position w:val="-12"/>
          <w:sz w:val="28"/>
        </w:rPr>
        <w:object w:dxaOrig="260" w:dyaOrig="320">
          <v:shape id="_x0000_i1038" type="#_x0000_t75" style="width:13pt;height:16pt" o:ole="">
            <v:imagedata r:id="rId5" o:title=""/>
          </v:shape>
          <o:OLEObject Type="Embed" ProgID="Equation.DSMT4" ShapeID="_x0000_i1038" DrawAspect="Content" ObjectID="_1421185064" r:id="rId17"/>
        </w:object>
      </w:r>
      <w:r>
        <w:rPr>
          <w:sz w:val="28"/>
        </w:rPr>
        <w:t xml:space="preserve"> складывается из двух слагаемых:</w:t>
      </w:r>
    </w:p>
    <w:p w:rsidR="00FA16BD" w:rsidRDefault="00FA16BD" w:rsidP="00FA16BD">
      <w:pPr>
        <w:tabs>
          <w:tab w:val="left" w:pos="1134"/>
        </w:tabs>
        <w:autoSpaceDE w:val="0"/>
        <w:autoSpaceDN w:val="0"/>
        <w:adjustRightInd w:val="0"/>
        <w:jc w:val="center"/>
        <w:rPr>
          <w:sz w:val="28"/>
          <w:szCs w:val="22"/>
        </w:rPr>
      </w:pPr>
      <w:r>
        <w:rPr>
          <w:position w:val="-14"/>
          <w:sz w:val="28"/>
          <w:szCs w:val="22"/>
        </w:rPr>
        <w:object w:dxaOrig="1359" w:dyaOrig="520">
          <v:shape id="_x0000_i1039" type="#_x0000_t75" style="width:68pt;height:26pt" o:ole="">
            <v:imagedata r:id="rId18" o:title=""/>
          </v:shape>
          <o:OLEObject Type="Embed" ProgID="Equation.DSMT4" ShapeID="_x0000_i1039" DrawAspect="Content" ObjectID="_1421185065" r:id="rId19"/>
        </w:object>
      </w:r>
      <w:r>
        <w:rPr>
          <w:sz w:val="28"/>
          <w:szCs w:val="22"/>
        </w:rPr>
        <w:t>,</w:t>
      </w:r>
    </w:p>
    <w:p w:rsidR="00FA16BD" w:rsidRDefault="00FA16BD" w:rsidP="00FA16BD">
      <w:pPr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sz w:val="28"/>
        </w:rPr>
      </w:pPr>
      <w:proofErr w:type="gramStart"/>
      <w:r>
        <w:rPr>
          <w:sz w:val="28"/>
        </w:rPr>
        <w:t xml:space="preserve">где </w:t>
      </w:r>
      <w:r>
        <w:rPr>
          <w:position w:val="-12"/>
          <w:sz w:val="28"/>
        </w:rPr>
        <w:object w:dxaOrig="260" w:dyaOrig="320">
          <v:shape id="_x0000_i1040" type="#_x0000_t75" style="width:13pt;height:16pt" o:ole="">
            <v:imagedata r:id="rId5" o:title=""/>
          </v:shape>
          <o:OLEObject Type="Embed" ProgID="Equation.DSMT4" ShapeID="_x0000_i1040" DrawAspect="Content" ObjectID="_1421185066" r:id="rId20"/>
        </w:object>
      </w:r>
      <w:r>
        <w:rPr>
          <w:sz w:val="28"/>
        </w:rPr>
        <w:t xml:space="preserve"> –</w:t>
      </w:r>
      <w:proofErr w:type="gramEnd"/>
      <w:r>
        <w:rPr>
          <w:sz w:val="28"/>
        </w:rPr>
        <w:t xml:space="preserve"> фактическое значение результативного признака; </w:t>
      </w:r>
    </w:p>
    <w:p w:rsidR="00FA16BD" w:rsidRDefault="00FA16BD" w:rsidP="00FA16BD">
      <w:pPr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sz w:val="28"/>
        </w:rPr>
      </w:pPr>
      <w:r>
        <w:rPr>
          <w:position w:val="-14"/>
          <w:sz w:val="28"/>
        </w:rPr>
        <w:object w:dxaOrig="360" w:dyaOrig="520">
          <v:shape id="_x0000_i1041" type="#_x0000_t75" style="width:18pt;height:26pt" o:ole="">
            <v:imagedata r:id="rId21" o:title=""/>
          </v:shape>
          <o:OLEObject Type="Embed" ProgID="Equation.DSMT4" ShapeID="_x0000_i1041" DrawAspect="Content" ObjectID="_1421185067" r:id="rId22"/>
        </w:object>
      </w:r>
      <w:r>
        <w:rPr>
          <w:sz w:val="28"/>
        </w:rPr>
        <w:t xml:space="preserve"> – теоретическое значение результативного признака, найденное исходя из уравнения регрессии; </w:t>
      </w:r>
    </w:p>
    <w:p w:rsidR="00FA16BD" w:rsidRDefault="00FA16BD" w:rsidP="00FA16BD">
      <w:pPr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sz w:val="28"/>
        </w:rPr>
      </w:pPr>
      <w:r>
        <w:rPr>
          <w:position w:val="-6"/>
          <w:sz w:val="28"/>
        </w:rPr>
        <w:object w:dxaOrig="240" w:dyaOrig="260">
          <v:shape id="_x0000_i1042" type="#_x0000_t75" style="width:12pt;height:13pt" o:ole="">
            <v:imagedata r:id="rId23" o:title=""/>
          </v:shape>
          <o:OLEObject Type="Embed" ProgID="Equation.DSMT4" ShapeID="_x0000_i1042" DrawAspect="Content" ObjectID="_1421185068" r:id="rId24"/>
        </w:object>
      </w:r>
      <w:r>
        <w:rPr>
          <w:sz w:val="28"/>
        </w:rPr>
        <w:t xml:space="preserve"> – случайная величина, характеризующая отклонения реального значения результативного признака от теоретического, найденного по уравнению регрессии.</w:t>
      </w:r>
    </w:p>
    <w:p w:rsidR="00FA16BD" w:rsidRDefault="00FA16BD" w:rsidP="00FA16BD">
      <w:pPr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sz w:val="28"/>
          <w:szCs w:val="22"/>
        </w:rPr>
      </w:pPr>
    </w:p>
    <w:p w:rsidR="00FA16BD" w:rsidRDefault="00FA16BD" w:rsidP="00FA16BD">
      <w:pPr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sz w:val="28"/>
          <w:szCs w:val="22"/>
        </w:rPr>
      </w:pPr>
      <w:r>
        <w:rPr>
          <w:sz w:val="28"/>
          <w:szCs w:val="22"/>
        </w:rPr>
        <w:t xml:space="preserve">Случайная </w:t>
      </w:r>
      <w:proofErr w:type="gramStart"/>
      <w:r>
        <w:rPr>
          <w:sz w:val="28"/>
          <w:szCs w:val="22"/>
        </w:rPr>
        <w:t xml:space="preserve">величина </w:t>
      </w:r>
      <w:r>
        <w:rPr>
          <w:position w:val="-6"/>
          <w:sz w:val="28"/>
          <w:szCs w:val="22"/>
        </w:rPr>
        <w:object w:dxaOrig="240" w:dyaOrig="260">
          <v:shape id="_x0000_i1043" type="#_x0000_t75" style="width:12pt;height:13pt" o:ole="">
            <v:imagedata r:id="rId23" o:title=""/>
          </v:shape>
          <o:OLEObject Type="Embed" ProgID="Equation.DSMT4" ShapeID="_x0000_i1043" DrawAspect="Content" ObjectID="_1421185069" r:id="rId25"/>
        </w:object>
      </w:r>
      <w:r>
        <w:rPr>
          <w:sz w:val="28"/>
          <w:szCs w:val="22"/>
        </w:rPr>
        <w:t xml:space="preserve"> называется</w:t>
      </w:r>
      <w:proofErr w:type="gramEnd"/>
      <w:r>
        <w:rPr>
          <w:sz w:val="28"/>
          <w:szCs w:val="22"/>
        </w:rPr>
        <w:t xml:space="preserve"> также возмущением. Она включает влияние не учтенных в модели факторов, случайных ошибок и особенностей измерения. Ее присутствие в модели порождено тремя источниками: спецификацией модели, выборочным характером исходных данных, особенностями измерения переменных.</w:t>
      </w:r>
    </w:p>
    <w:p w:rsidR="00FA16BD" w:rsidRPr="004729F1" w:rsidRDefault="00FA16BD" w:rsidP="00FA16BD">
      <w:pPr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4729F1">
        <w:rPr>
          <w:sz w:val="28"/>
          <w:szCs w:val="28"/>
        </w:rPr>
        <w:t xml:space="preserve">От правильно выбранной спецификации модели зависит величина случайных ошибок: они тем меньше, чем в большей мере теоретические значения результативного </w:t>
      </w:r>
      <w:proofErr w:type="gramStart"/>
      <w:r w:rsidRPr="004729F1">
        <w:rPr>
          <w:sz w:val="28"/>
          <w:szCs w:val="28"/>
        </w:rPr>
        <w:t xml:space="preserve">признака </w:t>
      </w:r>
      <w:r w:rsidRPr="004729F1">
        <w:rPr>
          <w:position w:val="-14"/>
          <w:sz w:val="28"/>
          <w:szCs w:val="28"/>
        </w:rPr>
        <w:object w:dxaOrig="360" w:dyaOrig="520">
          <v:shape id="_x0000_i1044" type="#_x0000_t75" style="width:18pt;height:26pt" o:ole="">
            <v:imagedata r:id="rId21" o:title=""/>
          </v:shape>
          <o:OLEObject Type="Embed" ProgID="Equation.DSMT4" ShapeID="_x0000_i1044" DrawAspect="Content" ObjectID="_1421185070" r:id="rId26"/>
        </w:object>
      </w:r>
      <w:r w:rsidRPr="004729F1">
        <w:rPr>
          <w:sz w:val="28"/>
          <w:szCs w:val="28"/>
        </w:rPr>
        <w:t>,</w:t>
      </w:r>
      <w:proofErr w:type="gramEnd"/>
      <w:r w:rsidRPr="004729F1">
        <w:rPr>
          <w:sz w:val="28"/>
          <w:szCs w:val="28"/>
        </w:rPr>
        <w:t xml:space="preserve"> подходят к фактическим данным </w:t>
      </w:r>
      <w:r w:rsidRPr="004729F1">
        <w:rPr>
          <w:position w:val="-12"/>
          <w:sz w:val="28"/>
          <w:szCs w:val="28"/>
        </w:rPr>
        <w:object w:dxaOrig="260" w:dyaOrig="320">
          <v:shape id="_x0000_i1045" type="#_x0000_t75" style="width:13pt;height:16pt" o:ole="">
            <v:imagedata r:id="rId5" o:title=""/>
          </v:shape>
          <o:OLEObject Type="Embed" ProgID="Equation.DSMT4" ShapeID="_x0000_i1045" DrawAspect="Content" ObjectID="_1421185071" r:id="rId27"/>
        </w:object>
      </w:r>
      <w:r w:rsidRPr="004729F1">
        <w:rPr>
          <w:sz w:val="28"/>
          <w:szCs w:val="28"/>
        </w:rPr>
        <w:t>.</w:t>
      </w:r>
    </w:p>
    <w:p w:rsidR="00FA16BD" w:rsidRPr="004729F1" w:rsidRDefault="00FA16BD" w:rsidP="00FA16BD">
      <w:pPr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4729F1">
        <w:rPr>
          <w:sz w:val="28"/>
          <w:szCs w:val="28"/>
        </w:rPr>
        <w:t xml:space="preserve">К ошибкам спецификации относятся неправильный выбор той или иной математической функции </w:t>
      </w:r>
      <w:proofErr w:type="gramStart"/>
      <w:r w:rsidRPr="004729F1">
        <w:rPr>
          <w:sz w:val="28"/>
          <w:szCs w:val="28"/>
        </w:rPr>
        <w:t xml:space="preserve">для </w:t>
      </w:r>
      <w:r w:rsidRPr="004729F1">
        <w:rPr>
          <w:position w:val="-14"/>
          <w:sz w:val="28"/>
          <w:szCs w:val="28"/>
        </w:rPr>
        <w:object w:dxaOrig="360" w:dyaOrig="520">
          <v:shape id="_x0000_i1046" type="#_x0000_t75" style="width:18pt;height:26pt" o:ole="">
            <v:imagedata r:id="rId21" o:title=""/>
          </v:shape>
          <o:OLEObject Type="Embed" ProgID="Equation.DSMT4" ShapeID="_x0000_i1046" DrawAspect="Content" ObjectID="_1421185072" r:id="rId28"/>
        </w:object>
      </w:r>
      <w:r w:rsidRPr="004729F1">
        <w:rPr>
          <w:sz w:val="28"/>
          <w:szCs w:val="28"/>
        </w:rPr>
        <w:t xml:space="preserve"> и</w:t>
      </w:r>
      <w:proofErr w:type="gramEnd"/>
      <w:r w:rsidRPr="004729F1">
        <w:rPr>
          <w:sz w:val="28"/>
          <w:szCs w:val="28"/>
        </w:rPr>
        <w:t xml:space="preserve"> недоучет в уравнении регрессии какого-либо существенного фактора, т. е. использование парной регрессии вместо множественной.</w:t>
      </w:r>
    </w:p>
    <w:p w:rsidR="00FA16BD" w:rsidRDefault="00FA16BD" w:rsidP="00FA16BD">
      <w:pPr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sz w:val="28"/>
        </w:rPr>
      </w:pPr>
      <w:r w:rsidRPr="004729F1">
        <w:rPr>
          <w:sz w:val="28"/>
          <w:szCs w:val="28"/>
        </w:rPr>
        <w:t>Наряду с ошибками спецификации могут иметь место ошибки выборки, которые имеют место в силу неоднородности данных</w:t>
      </w:r>
      <w:r>
        <w:rPr>
          <w:sz w:val="28"/>
        </w:rPr>
        <w:t xml:space="preserve"> в исходной статистической совокупности, что, как правило, бывает при изучении экономических процессов. Если совокупность неоднородна, то уравнение регрессии не имеет практического смысла. Для получения хорошего результата обычно исключают из совокупности единицы с аномальными значениями исследуемых признаков. И в этом случае результаты регрессии представляют собой выборочные характеристики.</w:t>
      </w:r>
    </w:p>
    <w:p w:rsidR="00FA16BD" w:rsidRDefault="00FA16BD" w:rsidP="00FA16BD">
      <w:pPr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sz w:val="28"/>
        </w:rPr>
      </w:pPr>
      <w:r>
        <w:rPr>
          <w:sz w:val="28"/>
        </w:rPr>
        <w:lastRenderedPageBreak/>
        <w:t>Использование временной информации также представляет собой выборку из всего множества хронологических дат. Изменив временной интервал, можно получить другие результаты регрессии.</w:t>
      </w:r>
    </w:p>
    <w:p w:rsidR="00FA16BD" w:rsidRDefault="00FA16BD" w:rsidP="00FA16BD">
      <w:pPr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sz w:val="28"/>
        </w:rPr>
      </w:pPr>
      <w:r>
        <w:rPr>
          <w:sz w:val="28"/>
        </w:rPr>
        <w:t>Наибольшую опасность в практическом использовании методов регрессии представляют ошибки измерения. Если ошибки спецификации можно уменьшить, изменяя форму модели (вид математической формулы), а ошибки выборки – увеличивая объем исходных данных, то ошибки измерения практически сводят на нет все усилия по количественной оценке связи между признаками.</w:t>
      </w:r>
    </w:p>
    <w:p w:rsidR="00FA16BD" w:rsidRDefault="00FA16BD" w:rsidP="00FA16BD">
      <w:pPr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sz w:val="28"/>
        </w:rPr>
      </w:pPr>
      <w:r>
        <w:rPr>
          <w:sz w:val="28"/>
        </w:rPr>
        <w:t>Особенно велика роль ошибок измерения при исследовании на макроуровне. Так, в исследованиях спроса и потребления в качестве объясняющей переменной широко используется «доход на душу населения». Вместе с тем, статистическое измерение величины дохода сопряжено с рядом трудностей и не лишено возможных ошибок, например, в результате наличия скрытых доходов.</w:t>
      </w:r>
    </w:p>
    <w:p w:rsidR="00FA16BD" w:rsidRDefault="00FA16BD" w:rsidP="00FA16BD">
      <w:pPr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sz w:val="28"/>
        </w:rPr>
      </w:pPr>
      <w:r>
        <w:rPr>
          <w:sz w:val="28"/>
        </w:rPr>
        <w:t>Предполагая, что ошибки измерения сведены к минимуму, основное внимание в эконометрических исследованиях уделяется ошибкам спецификации модели.</w:t>
      </w:r>
    </w:p>
    <w:p w:rsidR="00FA16BD" w:rsidRDefault="00FA16BD" w:rsidP="00FA16BD">
      <w:pPr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sz w:val="28"/>
        </w:rPr>
      </w:pPr>
      <w:r>
        <w:rPr>
          <w:sz w:val="28"/>
        </w:rPr>
        <w:t xml:space="preserve">В парной регрессии выбор вида математической </w:t>
      </w:r>
      <w:proofErr w:type="gramStart"/>
      <w:r>
        <w:rPr>
          <w:sz w:val="28"/>
        </w:rPr>
        <w:t xml:space="preserve">функции </w:t>
      </w:r>
      <w:r>
        <w:rPr>
          <w:position w:val="-16"/>
          <w:sz w:val="28"/>
        </w:rPr>
        <w:object w:dxaOrig="1380" w:dyaOrig="540">
          <v:shape id="_x0000_i1047" type="#_x0000_t75" style="width:69pt;height:27pt" o:ole="">
            <v:imagedata r:id="rId29" o:title=""/>
          </v:shape>
          <o:OLEObject Type="Embed" ProgID="Equation.DSMT4" ShapeID="_x0000_i1047" DrawAspect="Content" ObjectID="_1421185073" r:id="rId30"/>
        </w:object>
      </w:r>
      <w:r>
        <w:rPr>
          <w:sz w:val="28"/>
        </w:rPr>
        <w:t xml:space="preserve"> может</w:t>
      </w:r>
      <w:proofErr w:type="gramEnd"/>
      <w:r>
        <w:rPr>
          <w:sz w:val="28"/>
        </w:rPr>
        <w:t xml:space="preserve"> быть осуществлен тремя методами:</w:t>
      </w:r>
    </w:p>
    <w:p w:rsidR="00FA16BD" w:rsidRDefault="00FA16BD" w:rsidP="00FA16BD">
      <w:pPr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sz w:val="28"/>
        </w:rPr>
      </w:pPr>
      <w:proofErr w:type="gramStart"/>
      <w:r>
        <w:rPr>
          <w:sz w:val="28"/>
        </w:rPr>
        <w:t>графическим</w:t>
      </w:r>
      <w:proofErr w:type="gramEnd"/>
      <w:r>
        <w:rPr>
          <w:sz w:val="28"/>
        </w:rPr>
        <w:t>;</w:t>
      </w:r>
    </w:p>
    <w:p w:rsidR="00FA16BD" w:rsidRDefault="00FA16BD" w:rsidP="00FA16BD">
      <w:pPr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sz w:val="28"/>
        </w:rPr>
      </w:pPr>
      <w:proofErr w:type="gramStart"/>
      <w:r>
        <w:rPr>
          <w:sz w:val="28"/>
        </w:rPr>
        <w:t>аналитическим</w:t>
      </w:r>
      <w:proofErr w:type="gramEnd"/>
      <w:r>
        <w:rPr>
          <w:sz w:val="28"/>
        </w:rPr>
        <w:t>, т.е. исходя из теории изучаемой взаимосвязи;</w:t>
      </w:r>
    </w:p>
    <w:p w:rsidR="00FA16BD" w:rsidRDefault="00FA16BD" w:rsidP="00FA16BD">
      <w:pPr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sz w:val="28"/>
        </w:rPr>
      </w:pPr>
      <w:proofErr w:type="gramStart"/>
      <w:r>
        <w:rPr>
          <w:sz w:val="28"/>
        </w:rPr>
        <w:t>экспериментальным</w:t>
      </w:r>
      <w:proofErr w:type="gramEnd"/>
      <w:r>
        <w:rPr>
          <w:sz w:val="28"/>
        </w:rPr>
        <w:t>.</w:t>
      </w:r>
    </w:p>
    <w:p w:rsidR="00FA16BD" w:rsidRDefault="00FA16BD" w:rsidP="00FA16BD">
      <w:pPr>
        <w:tabs>
          <w:tab w:val="left" w:pos="1134"/>
        </w:tabs>
        <w:ind w:firstLine="709"/>
        <w:jc w:val="both"/>
        <w:rPr>
          <w:sz w:val="28"/>
        </w:rPr>
      </w:pPr>
      <w:r>
        <w:rPr>
          <w:sz w:val="28"/>
        </w:rPr>
        <w:t>При изучении зависимости между двумя признаками графический метод подбора вида уравнения регрессии достаточно нагляден. Он основан на поле корреляции. Основные типы кривых, используемые при количественной оценке связей, представлены на рис</w:t>
      </w:r>
      <w:r>
        <w:rPr>
          <w:sz w:val="28"/>
        </w:rPr>
        <w:t>унке7.1</w:t>
      </w:r>
      <w:r>
        <w:rPr>
          <w:sz w:val="28"/>
        </w:rPr>
        <w:t>:</w:t>
      </w:r>
    </w:p>
    <w:p w:rsidR="00FA16BD" w:rsidRDefault="00FA16BD" w:rsidP="00FA16BD">
      <w:pPr>
        <w:ind w:left="57"/>
        <w:jc w:val="both"/>
        <w:rPr>
          <w:sz w:val="28"/>
        </w:rPr>
      </w:pPr>
      <w:r>
        <w:rPr>
          <w:noProof/>
          <w:sz w:val="28"/>
        </w:rPr>
        <w:drawing>
          <wp:inline distT="0" distB="0" distL="0" distR="0" wp14:anchorId="0986101A" wp14:editId="772460D3">
            <wp:extent cx="6292850" cy="2768600"/>
            <wp:effectExtent l="0" t="0" r="0" b="0"/>
            <wp:docPr id="10" name="Рисунок 10" descr="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15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2850" cy="276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16BD" w:rsidRDefault="00FA16BD" w:rsidP="00FA16BD">
      <w:pPr>
        <w:ind w:left="57"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position w:val="-14"/>
          <w:sz w:val="28"/>
        </w:rPr>
        <w:object w:dxaOrig="1660" w:dyaOrig="520">
          <v:shape id="_x0000_i1027" type="#_x0000_t75" style="width:83pt;height:26pt" o:ole="">
            <v:imagedata r:id="rId32" o:title=""/>
          </v:shape>
          <o:OLEObject Type="Embed" ProgID="Equation.DSMT4" ShapeID="_x0000_i1027" DrawAspect="Content" ObjectID="_1421185074" r:id="rId33"/>
        </w:objec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position w:val="-14"/>
          <w:sz w:val="28"/>
        </w:rPr>
        <w:object w:dxaOrig="2540" w:dyaOrig="520">
          <v:shape id="_x0000_i1028" type="#_x0000_t75" style="width:127pt;height:26pt" o:ole="">
            <v:imagedata r:id="rId34" o:title=""/>
          </v:shape>
          <o:OLEObject Type="Embed" ProgID="Equation.DSMT4" ShapeID="_x0000_i1028" DrawAspect="Content" ObjectID="_1421185075" r:id="rId35"/>
        </w:object>
      </w:r>
    </w:p>
    <w:p w:rsidR="00FA16BD" w:rsidRDefault="00FA16BD" w:rsidP="00FA16BD">
      <w:pPr>
        <w:ind w:left="57"/>
        <w:jc w:val="both"/>
        <w:rPr>
          <w:sz w:val="28"/>
        </w:rPr>
      </w:pPr>
      <w:r>
        <w:rPr>
          <w:noProof/>
          <w:sz w:val="28"/>
        </w:rPr>
        <w:lastRenderedPageBreak/>
        <w:drawing>
          <wp:inline distT="0" distB="0" distL="0" distR="0" wp14:anchorId="49A38560" wp14:editId="21407E22">
            <wp:extent cx="6299200" cy="2724150"/>
            <wp:effectExtent l="0" t="0" r="6350" b="0"/>
            <wp:docPr id="9" name="Рисунок 9" descr="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16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200" cy="272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16BD" w:rsidRDefault="00FA16BD" w:rsidP="00FA16BD">
      <w:pPr>
        <w:ind w:left="57"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position w:val="-14"/>
          <w:sz w:val="28"/>
        </w:rPr>
        <w:object w:dxaOrig="1620" w:dyaOrig="520">
          <v:shape id="_x0000_i1029" type="#_x0000_t75" style="width:81pt;height:26pt" o:ole="">
            <v:imagedata r:id="rId37" o:title=""/>
          </v:shape>
          <o:OLEObject Type="Embed" ProgID="Equation.DSMT4" ShapeID="_x0000_i1029" DrawAspect="Content" ObjectID="_1421185076" r:id="rId38"/>
        </w:objec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position w:val="-14"/>
          <w:sz w:val="28"/>
        </w:rPr>
        <w:object w:dxaOrig="3480" w:dyaOrig="520">
          <v:shape id="_x0000_i1030" type="#_x0000_t75" style="width:174pt;height:26pt" o:ole="">
            <v:imagedata r:id="rId39" o:title=""/>
          </v:shape>
          <o:OLEObject Type="Embed" ProgID="Equation.DSMT4" ShapeID="_x0000_i1030" DrawAspect="Content" ObjectID="_1421185077" r:id="rId40"/>
        </w:object>
      </w:r>
    </w:p>
    <w:p w:rsidR="00FA16BD" w:rsidRDefault="00FA16BD" w:rsidP="00FA16BD">
      <w:pPr>
        <w:ind w:left="57"/>
        <w:jc w:val="both"/>
        <w:rPr>
          <w:sz w:val="28"/>
        </w:rPr>
      </w:pPr>
      <w:r>
        <w:rPr>
          <w:noProof/>
          <w:sz w:val="28"/>
        </w:rPr>
        <w:drawing>
          <wp:inline distT="0" distB="0" distL="0" distR="0" wp14:anchorId="4233920D" wp14:editId="4F76E34D">
            <wp:extent cx="6299200" cy="2679700"/>
            <wp:effectExtent l="0" t="0" r="6350" b="6350"/>
            <wp:docPr id="8" name="Рисунок 8" descr="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17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200" cy="267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16BD" w:rsidRDefault="00FA16BD" w:rsidP="00FA16BD">
      <w:pPr>
        <w:ind w:left="57"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position w:val="-14"/>
          <w:sz w:val="28"/>
        </w:rPr>
        <w:object w:dxaOrig="1320" w:dyaOrig="520">
          <v:shape id="_x0000_i1031" type="#_x0000_t75" style="width:66pt;height:26pt" o:ole="">
            <v:imagedata r:id="rId42" o:title=""/>
          </v:shape>
          <o:OLEObject Type="Embed" ProgID="Equation.DSMT4" ShapeID="_x0000_i1031" DrawAspect="Content" ObjectID="_1421185078" r:id="rId43"/>
        </w:objec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position w:val="-14"/>
          <w:sz w:val="28"/>
        </w:rPr>
        <w:object w:dxaOrig="1320" w:dyaOrig="520">
          <v:shape id="_x0000_i1032" type="#_x0000_t75" style="width:66pt;height:26pt" o:ole="">
            <v:imagedata r:id="rId44" o:title=""/>
          </v:shape>
          <o:OLEObject Type="Embed" ProgID="Equation.DSMT4" ShapeID="_x0000_i1032" DrawAspect="Content" ObjectID="_1421185079" r:id="rId45"/>
        </w:object>
      </w:r>
    </w:p>
    <w:p w:rsidR="00FA16BD" w:rsidRDefault="00FA16BD" w:rsidP="00FA16BD">
      <w:pPr>
        <w:ind w:left="57"/>
        <w:jc w:val="both"/>
        <w:rPr>
          <w:sz w:val="28"/>
        </w:rPr>
      </w:pPr>
    </w:p>
    <w:p w:rsidR="00FA16BD" w:rsidRPr="00D21157" w:rsidRDefault="00FA16BD" w:rsidP="00FA16BD">
      <w:pPr>
        <w:ind w:left="57"/>
        <w:jc w:val="center"/>
        <w:rPr>
          <w:sz w:val="28"/>
          <w:szCs w:val="28"/>
        </w:rPr>
      </w:pPr>
      <w:r w:rsidRPr="00D21157">
        <w:rPr>
          <w:sz w:val="28"/>
          <w:szCs w:val="28"/>
        </w:rPr>
        <w:t xml:space="preserve">Рисунок </w:t>
      </w:r>
      <w:r>
        <w:rPr>
          <w:sz w:val="28"/>
          <w:szCs w:val="28"/>
        </w:rPr>
        <w:t xml:space="preserve">7.1 </w:t>
      </w:r>
      <w:r w:rsidRPr="00D21157">
        <w:rPr>
          <w:sz w:val="28"/>
          <w:szCs w:val="28"/>
        </w:rPr>
        <w:t>- Основные типы кривых, используемые при</w:t>
      </w:r>
    </w:p>
    <w:p w:rsidR="00FA16BD" w:rsidRDefault="00FA16BD" w:rsidP="00FA16BD">
      <w:pPr>
        <w:ind w:left="57"/>
        <w:jc w:val="center"/>
        <w:rPr>
          <w:sz w:val="28"/>
          <w:szCs w:val="28"/>
        </w:rPr>
      </w:pPr>
      <w:proofErr w:type="gramStart"/>
      <w:r w:rsidRPr="00D21157">
        <w:rPr>
          <w:sz w:val="28"/>
          <w:szCs w:val="28"/>
        </w:rPr>
        <w:t>количественной</w:t>
      </w:r>
      <w:proofErr w:type="gramEnd"/>
      <w:r w:rsidRPr="00D21157">
        <w:rPr>
          <w:sz w:val="28"/>
          <w:szCs w:val="28"/>
        </w:rPr>
        <w:t xml:space="preserve"> оценке</w:t>
      </w:r>
      <w:r>
        <w:rPr>
          <w:sz w:val="28"/>
          <w:szCs w:val="28"/>
        </w:rPr>
        <w:t xml:space="preserve"> связей между двумя переменными</w:t>
      </w:r>
    </w:p>
    <w:p w:rsidR="00FA16BD" w:rsidRPr="00D21157" w:rsidRDefault="00FA16BD" w:rsidP="00FA16BD">
      <w:pPr>
        <w:ind w:left="57"/>
        <w:jc w:val="center"/>
        <w:rPr>
          <w:sz w:val="28"/>
          <w:szCs w:val="28"/>
        </w:rPr>
      </w:pPr>
    </w:p>
    <w:p w:rsidR="00FA16BD" w:rsidRPr="00D21157" w:rsidRDefault="00FA16BD" w:rsidP="00FA16BD">
      <w:pPr>
        <w:pStyle w:val="21"/>
        <w:ind w:firstLine="709"/>
        <w:jc w:val="both"/>
        <w:rPr>
          <w:rFonts w:ascii="Times New Roman" w:hAnsi="Times New Roman"/>
          <w:sz w:val="28"/>
          <w:szCs w:val="28"/>
        </w:rPr>
      </w:pPr>
      <w:r w:rsidRPr="00D21157">
        <w:rPr>
          <w:rFonts w:ascii="Times New Roman" w:hAnsi="Times New Roman"/>
          <w:sz w:val="28"/>
          <w:szCs w:val="28"/>
        </w:rPr>
        <w:t>Значительный интерес представляет аналитический метод выбора типа уравнения регрессии. Он основан на изучении материальной природы связи исследуемых признаков.</w:t>
      </w:r>
    </w:p>
    <w:p w:rsidR="00FA16BD" w:rsidRDefault="00FA16BD" w:rsidP="00FA16BD">
      <w:pPr>
        <w:ind w:firstLine="709"/>
        <w:jc w:val="both"/>
        <w:rPr>
          <w:sz w:val="28"/>
          <w:szCs w:val="22"/>
        </w:rPr>
      </w:pPr>
      <w:r>
        <w:rPr>
          <w:sz w:val="28"/>
          <w:szCs w:val="22"/>
        </w:rPr>
        <w:t xml:space="preserve">При обработке информации на компьютере выбор вида уравнения регрессии обычно осуществляется экспериментальным методом, т. е. путем сравнения величины остаточной </w:t>
      </w:r>
      <w:proofErr w:type="gramStart"/>
      <w:r>
        <w:rPr>
          <w:sz w:val="28"/>
          <w:szCs w:val="22"/>
        </w:rPr>
        <w:t xml:space="preserve">дисперсии </w:t>
      </w:r>
      <w:r>
        <w:rPr>
          <w:position w:val="-14"/>
          <w:sz w:val="28"/>
          <w:szCs w:val="22"/>
        </w:rPr>
        <w:object w:dxaOrig="540" w:dyaOrig="480">
          <v:shape id="_x0000_i1048" type="#_x0000_t75" style="width:27pt;height:24pt" o:ole="">
            <v:imagedata r:id="rId46" o:title=""/>
          </v:shape>
          <o:OLEObject Type="Embed" ProgID="Equation.DSMT4" ShapeID="_x0000_i1048" DrawAspect="Content" ObjectID="_1421185080" r:id="rId47"/>
        </w:object>
      </w:r>
      <w:r>
        <w:rPr>
          <w:sz w:val="28"/>
          <w:szCs w:val="22"/>
        </w:rPr>
        <w:t>,</w:t>
      </w:r>
      <w:proofErr w:type="gramEnd"/>
      <w:r>
        <w:rPr>
          <w:sz w:val="28"/>
          <w:szCs w:val="22"/>
        </w:rPr>
        <w:t xml:space="preserve"> рассчитанной при разных моделях.</w:t>
      </w:r>
    </w:p>
    <w:p w:rsidR="00FA16BD" w:rsidRDefault="00FA16BD" w:rsidP="00FA16BD">
      <w:pPr>
        <w:autoSpaceDE w:val="0"/>
        <w:autoSpaceDN w:val="0"/>
        <w:adjustRightInd w:val="0"/>
        <w:ind w:firstLine="709"/>
        <w:jc w:val="both"/>
        <w:rPr>
          <w:sz w:val="28"/>
        </w:rPr>
      </w:pPr>
      <w:r>
        <w:rPr>
          <w:sz w:val="28"/>
        </w:rPr>
        <w:t xml:space="preserve">Если уравнение регрессии проходит через все точки корреляционного поля, что возможно только при функциональной связи, когда все точки лежат на линии </w:t>
      </w:r>
      <w:proofErr w:type="gramStart"/>
      <w:r>
        <w:rPr>
          <w:sz w:val="28"/>
        </w:rPr>
        <w:t xml:space="preserve">регрессии </w:t>
      </w:r>
      <w:r>
        <w:rPr>
          <w:position w:val="-16"/>
          <w:sz w:val="28"/>
        </w:rPr>
        <w:object w:dxaOrig="1380" w:dyaOrig="540">
          <v:shape id="_x0000_i1049" type="#_x0000_t75" style="width:69pt;height:27pt" o:ole="">
            <v:imagedata r:id="rId29" o:title=""/>
          </v:shape>
          <o:OLEObject Type="Embed" ProgID="Equation.DSMT4" ShapeID="_x0000_i1049" DrawAspect="Content" ObjectID="_1421185081" r:id="rId48"/>
        </w:object>
      </w:r>
      <w:r>
        <w:rPr>
          <w:sz w:val="28"/>
        </w:rPr>
        <w:t>,</w:t>
      </w:r>
      <w:proofErr w:type="gramEnd"/>
      <w:r>
        <w:rPr>
          <w:sz w:val="28"/>
        </w:rPr>
        <w:t xml:space="preserve"> то фактические значения результативного </w:t>
      </w:r>
      <w:r>
        <w:rPr>
          <w:sz w:val="28"/>
        </w:rPr>
        <w:lastRenderedPageBreak/>
        <w:t xml:space="preserve">признака совпадают с теоретическими </w:t>
      </w:r>
      <w:r>
        <w:rPr>
          <w:position w:val="-14"/>
          <w:sz w:val="28"/>
        </w:rPr>
        <w:object w:dxaOrig="859" w:dyaOrig="520">
          <v:shape id="_x0000_i1050" type="#_x0000_t75" style="width:43pt;height:26pt" o:ole="">
            <v:imagedata r:id="rId49" o:title=""/>
          </v:shape>
          <o:OLEObject Type="Embed" ProgID="Equation.DSMT4" ShapeID="_x0000_i1050" DrawAspect="Content" ObjectID="_1421185082" r:id="rId50"/>
        </w:object>
      </w:r>
      <w:r>
        <w:rPr>
          <w:sz w:val="28"/>
        </w:rPr>
        <w:t xml:space="preserve">, т.е. они полностью обусловлены влиянием фактора </w:t>
      </w:r>
      <w:r>
        <w:rPr>
          <w:position w:val="-6"/>
          <w:sz w:val="28"/>
        </w:rPr>
        <w:object w:dxaOrig="240" w:dyaOrig="260">
          <v:shape id="_x0000_i1051" type="#_x0000_t75" style="width:12pt;height:13pt" o:ole="">
            <v:imagedata r:id="rId7" o:title=""/>
          </v:shape>
          <o:OLEObject Type="Embed" ProgID="Equation.DSMT4" ShapeID="_x0000_i1051" DrawAspect="Content" ObjectID="_1421185083" r:id="rId51"/>
        </w:object>
      </w:r>
      <w:r>
        <w:rPr>
          <w:sz w:val="28"/>
        </w:rPr>
        <w:t xml:space="preserve">. В этом случае остаточная </w:t>
      </w:r>
      <w:proofErr w:type="gramStart"/>
      <w:r>
        <w:rPr>
          <w:sz w:val="28"/>
        </w:rPr>
        <w:t xml:space="preserve">дисперсия </w:t>
      </w:r>
      <w:r>
        <w:rPr>
          <w:position w:val="-14"/>
          <w:sz w:val="28"/>
          <w:szCs w:val="22"/>
        </w:rPr>
        <w:object w:dxaOrig="1040" w:dyaOrig="480">
          <v:shape id="_x0000_i1052" type="#_x0000_t75" style="width:52pt;height:24pt" o:ole="">
            <v:imagedata r:id="rId52" o:title=""/>
          </v:shape>
          <o:OLEObject Type="Embed" ProgID="Equation.DSMT4" ShapeID="_x0000_i1052" DrawAspect="Content" ObjectID="_1421185084" r:id="rId53"/>
        </w:object>
      </w:r>
      <w:r>
        <w:rPr>
          <w:sz w:val="28"/>
        </w:rPr>
        <w:t>.</w:t>
      </w:r>
      <w:proofErr w:type="gramEnd"/>
    </w:p>
    <w:p w:rsidR="00FA16BD" w:rsidRDefault="00FA16BD" w:rsidP="00FA16BD">
      <w:pPr>
        <w:autoSpaceDE w:val="0"/>
        <w:autoSpaceDN w:val="0"/>
        <w:adjustRightInd w:val="0"/>
        <w:ind w:firstLine="709"/>
        <w:jc w:val="both"/>
        <w:rPr>
          <w:sz w:val="28"/>
        </w:rPr>
      </w:pPr>
      <w:r>
        <w:rPr>
          <w:sz w:val="28"/>
        </w:rPr>
        <w:t xml:space="preserve">В практических исследованиях, как правило, имеет место некоторое рассеяние точек относительно линии регрессии. Оно обусловлено влиянием прочих, не учитываемых в уравнении регрессии, факторов. Иными словами, имеют место отклонения фактических данных от </w:t>
      </w:r>
      <w:proofErr w:type="gramStart"/>
      <w:r>
        <w:rPr>
          <w:sz w:val="28"/>
        </w:rPr>
        <w:t xml:space="preserve">теоретических </w:t>
      </w:r>
      <w:r>
        <w:rPr>
          <w:position w:val="-24"/>
          <w:sz w:val="28"/>
        </w:rPr>
        <w:object w:dxaOrig="1120" w:dyaOrig="639">
          <v:shape id="_x0000_i1053" type="#_x0000_t75" style="width:56pt;height:32pt" o:ole="">
            <v:imagedata r:id="rId54" o:title=""/>
          </v:shape>
          <o:OLEObject Type="Embed" ProgID="Equation.DSMT4" ShapeID="_x0000_i1053" DrawAspect="Content" ObjectID="_1421185085" r:id="rId55"/>
        </w:object>
      </w:r>
      <w:r>
        <w:rPr>
          <w:sz w:val="28"/>
        </w:rPr>
        <w:t>.</w:t>
      </w:r>
      <w:proofErr w:type="gramEnd"/>
      <w:r>
        <w:rPr>
          <w:sz w:val="28"/>
        </w:rPr>
        <w:t xml:space="preserve"> Величина этих отклонений и лежит в основе расчета остаточной дисперсии:</w:t>
      </w:r>
    </w:p>
    <w:p w:rsidR="00FA16BD" w:rsidRDefault="00FA16BD" w:rsidP="00FA16BD">
      <w:pPr>
        <w:autoSpaceDE w:val="0"/>
        <w:autoSpaceDN w:val="0"/>
        <w:adjustRightInd w:val="0"/>
        <w:ind w:firstLine="709"/>
        <w:jc w:val="both"/>
        <w:rPr>
          <w:sz w:val="28"/>
        </w:rPr>
      </w:pPr>
    </w:p>
    <w:p w:rsidR="00FA16BD" w:rsidRDefault="00FA16BD" w:rsidP="00FA16BD">
      <w:pPr>
        <w:autoSpaceDE w:val="0"/>
        <w:autoSpaceDN w:val="0"/>
        <w:adjustRightInd w:val="0"/>
        <w:jc w:val="center"/>
        <w:rPr>
          <w:sz w:val="28"/>
          <w:szCs w:val="16"/>
        </w:rPr>
      </w:pPr>
      <w:r>
        <w:rPr>
          <w:position w:val="-30"/>
          <w:sz w:val="28"/>
          <w:szCs w:val="22"/>
        </w:rPr>
        <w:object w:dxaOrig="2680" w:dyaOrig="800">
          <v:shape id="_x0000_i1054" type="#_x0000_t75" style="width:134pt;height:40pt" o:ole="">
            <v:imagedata r:id="rId56" o:title=""/>
          </v:shape>
          <o:OLEObject Type="Embed" ProgID="Equation.DSMT4" ShapeID="_x0000_i1054" DrawAspect="Content" ObjectID="_1421185086" r:id="rId57"/>
        </w:object>
      </w:r>
      <w:r>
        <w:rPr>
          <w:sz w:val="28"/>
          <w:szCs w:val="22"/>
        </w:rPr>
        <w:t>.</w:t>
      </w:r>
    </w:p>
    <w:p w:rsidR="00FA16BD" w:rsidRDefault="00FA16BD" w:rsidP="00FA16BD">
      <w:pPr>
        <w:autoSpaceDE w:val="0"/>
        <w:autoSpaceDN w:val="0"/>
        <w:adjustRightInd w:val="0"/>
        <w:ind w:firstLine="709"/>
        <w:jc w:val="both"/>
        <w:rPr>
          <w:sz w:val="28"/>
          <w:szCs w:val="22"/>
        </w:rPr>
      </w:pPr>
    </w:p>
    <w:p w:rsidR="00FA16BD" w:rsidRDefault="00FA16BD" w:rsidP="00FA16BD">
      <w:pPr>
        <w:autoSpaceDE w:val="0"/>
        <w:autoSpaceDN w:val="0"/>
        <w:adjustRightInd w:val="0"/>
        <w:ind w:firstLine="709"/>
        <w:jc w:val="both"/>
        <w:rPr>
          <w:sz w:val="28"/>
          <w:szCs w:val="22"/>
        </w:rPr>
      </w:pPr>
      <w:bookmarkStart w:id="1" w:name="_GoBack"/>
      <w:bookmarkEnd w:id="1"/>
      <w:r>
        <w:rPr>
          <w:sz w:val="28"/>
          <w:szCs w:val="22"/>
        </w:rPr>
        <w:t>Чем меньше величина остаточной дисперсии, тем меньше влияние не учитываемых в уравнении регрессии факторов и тем лучше уравнение регрессии подходит к исходным данным.</w:t>
      </w:r>
    </w:p>
    <w:p w:rsidR="00FA16BD" w:rsidRDefault="00FA16BD" w:rsidP="00FA16BD">
      <w:pPr>
        <w:autoSpaceDE w:val="0"/>
        <w:autoSpaceDN w:val="0"/>
        <w:adjustRightInd w:val="0"/>
        <w:ind w:firstLine="709"/>
        <w:jc w:val="both"/>
        <w:rPr>
          <w:sz w:val="28"/>
          <w:szCs w:val="22"/>
        </w:rPr>
      </w:pPr>
      <w:r>
        <w:rPr>
          <w:sz w:val="28"/>
          <w:szCs w:val="22"/>
        </w:rPr>
        <w:t xml:space="preserve">Считается, что число наблюдений должно в 7-8 раз превышать число рассчитываемых параметров при </w:t>
      </w:r>
      <w:proofErr w:type="gramStart"/>
      <w:r>
        <w:rPr>
          <w:sz w:val="28"/>
          <w:szCs w:val="22"/>
        </w:rPr>
        <w:t xml:space="preserve">переменной </w:t>
      </w:r>
      <w:r>
        <w:rPr>
          <w:position w:val="-6"/>
          <w:sz w:val="28"/>
          <w:szCs w:val="22"/>
        </w:rPr>
        <w:object w:dxaOrig="240" w:dyaOrig="260">
          <v:shape id="_x0000_i1055" type="#_x0000_t75" style="width:12pt;height:13pt" o:ole="">
            <v:imagedata r:id="rId7" o:title=""/>
          </v:shape>
          <o:OLEObject Type="Embed" ProgID="Equation.DSMT4" ShapeID="_x0000_i1055" DrawAspect="Content" ObjectID="_1421185087" r:id="rId58"/>
        </w:object>
      </w:r>
      <w:r>
        <w:rPr>
          <w:sz w:val="28"/>
          <w:szCs w:val="22"/>
        </w:rPr>
        <w:t>.</w:t>
      </w:r>
      <w:proofErr w:type="gramEnd"/>
      <w:r>
        <w:rPr>
          <w:sz w:val="28"/>
          <w:szCs w:val="22"/>
        </w:rPr>
        <w:t xml:space="preserve"> Это означает, что искать линейную регрессию, имея менее 7 наблюдений, вообще не имеет смысла. Если вид функции усложняется, то требуется увеличение объема наблюдений, ибо каждый параметр </w:t>
      </w:r>
      <w:proofErr w:type="gramStart"/>
      <w:r>
        <w:rPr>
          <w:sz w:val="28"/>
          <w:szCs w:val="22"/>
        </w:rPr>
        <w:t xml:space="preserve">при </w:t>
      </w:r>
      <w:r>
        <w:rPr>
          <w:position w:val="-6"/>
          <w:sz w:val="28"/>
          <w:szCs w:val="22"/>
        </w:rPr>
        <w:object w:dxaOrig="240" w:dyaOrig="260">
          <v:shape id="_x0000_i1056" type="#_x0000_t75" style="width:12pt;height:13pt" o:ole="">
            <v:imagedata r:id="rId7" o:title=""/>
          </v:shape>
          <o:OLEObject Type="Embed" ProgID="Equation.DSMT4" ShapeID="_x0000_i1056" DrawAspect="Content" ObjectID="_1421185088" r:id="rId59"/>
        </w:object>
      </w:r>
      <w:r>
        <w:rPr>
          <w:sz w:val="28"/>
          <w:szCs w:val="22"/>
        </w:rPr>
        <w:t xml:space="preserve"> должен</w:t>
      </w:r>
      <w:proofErr w:type="gramEnd"/>
      <w:r>
        <w:rPr>
          <w:sz w:val="28"/>
          <w:szCs w:val="22"/>
        </w:rPr>
        <w:t xml:space="preserve"> рассчитываться хотя бы по 7 наблюдениям. Значит, если мы выбираем параболу второй </w:t>
      </w:r>
      <w:proofErr w:type="gramStart"/>
      <w:r>
        <w:rPr>
          <w:sz w:val="28"/>
          <w:szCs w:val="22"/>
        </w:rPr>
        <w:t xml:space="preserve">степени </w:t>
      </w:r>
      <w:r>
        <w:rPr>
          <w:position w:val="-14"/>
          <w:sz w:val="28"/>
        </w:rPr>
        <w:object w:dxaOrig="2540" w:dyaOrig="520">
          <v:shape id="_x0000_i1057" type="#_x0000_t75" style="width:127pt;height:26pt" o:ole="">
            <v:imagedata r:id="rId34" o:title=""/>
          </v:shape>
          <o:OLEObject Type="Embed" ProgID="Equation.DSMT4" ShapeID="_x0000_i1057" DrawAspect="Content" ObjectID="_1421185089" r:id="rId60"/>
        </w:object>
      </w:r>
      <w:r>
        <w:rPr>
          <w:sz w:val="28"/>
          <w:szCs w:val="22"/>
        </w:rPr>
        <w:t>,</w:t>
      </w:r>
      <w:proofErr w:type="gramEnd"/>
      <w:r>
        <w:rPr>
          <w:sz w:val="28"/>
          <w:szCs w:val="22"/>
        </w:rPr>
        <w:t xml:space="preserve"> то требуется объем информации уже не менее 14 наблюдений.</w:t>
      </w:r>
    </w:p>
    <w:p w:rsidR="008B6153" w:rsidRDefault="008B6153" w:rsidP="00FA16BD">
      <w:pPr>
        <w:ind w:firstLine="709"/>
      </w:pPr>
    </w:p>
    <w:sectPr w:rsidR="008B61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ntiquaPSCyr-Regular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3237D14"/>
    <w:multiLevelType w:val="multilevel"/>
    <w:tmpl w:val="2B582494"/>
    <w:lvl w:ilvl="0">
      <w:start w:val="1"/>
      <w:numFmt w:val="decimal"/>
      <w:pStyle w:val="1"/>
      <w:lvlText w:val="Глава %1"/>
      <w:lvlJc w:val="left"/>
      <w:pPr>
        <w:tabs>
          <w:tab w:val="num" w:pos="8027"/>
        </w:tabs>
        <w:ind w:left="7379" w:hanging="432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">
    <w:nsid w:val="490D2CA5"/>
    <w:multiLevelType w:val="hybridMultilevel"/>
    <w:tmpl w:val="08C822E8"/>
    <w:lvl w:ilvl="0" w:tplc="00C2913E">
      <w:start w:val="1"/>
      <w:numFmt w:val="decimal"/>
      <w:lvlText w:val="%1)"/>
      <w:lvlJc w:val="left"/>
      <w:pPr>
        <w:tabs>
          <w:tab w:val="num" w:pos="709"/>
        </w:tabs>
        <w:ind w:left="0" w:firstLine="706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16BD"/>
    <w:rsid w:val="008B6153"/>
    <w:rsid w:val="00FA1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62A906-0871-4181-9D49-54FD2B37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16B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FA16BD"/>
    <w:pPr>
      <w:keepNext/>
      <w:widowControl w:val="0"/>
      <w:numPr>
        <w:numId w:val="1"/>
      </w:numPr>
      <w:autoSpaceDE w:val="0"/>
      <w:autoSpaceDN w:val="0"/>
      <w:adjustRightInd w:val="0"/>
      <w:jc w:val="center"/>
      <w:outlineLvl w:val="0"/>
    </w:pPr>
    <w:rPr>
      <w:rFonts w:eastAsia="Arial Unicode MS"/>
      <w:b/>
      <w:bCs/>
      <w:sz w:val="28"/>
      <w:szCs w:val="28"/>
    </w:rPr>
  </w:style>
  <w:style w:type="paragraph" w:styleId="2">
    <w:name w:val="heading 2"/>
    <w:basedOn w:val="a"/>
    <w:next w:val="a"/>
    <w:link w:val="20"/>
    <w:qFormat/>
    <w:rsid w:val="00FA16BD"/>
    <w:pPr>
      <w:keepNext/>
      <w:widowControl w:val="0"/>
      <w:numPr>
        <w:ilvl w:val="1"/>
        <w:numId w:val="1"/>
      </w:numPr>
      <w:autoSpaceDE w:val="0"/>
      <w:autoSpaceDN w:val="0"/>
      <w:adjustRightInd w:val="0"/>
      <w:jc w:val="center"/>
      <w:outlineLvl w:val="1"/>
    </w:pPr>
    <w:rPr>
      <w:rFonts w:eastAsia="Arial Unicode MS"/>
      <w:b/>
      <w:bCs/>
      <w:sz w:val="28"/>
      <w:szCs w:val="28"/>
    </w:rPr>
  </w:style>
  <w:style w:type="paragraph" w:styleId="3">
    <w:name w:val="heading 3"/>
    <w:basedOn w:val="a"/>
    <w:next w:val="a"/>
    <w:link w:val="30"/>
    <w:qFormat/>
    <w:rsid w:val="00FA16BD"/>
    <w:pPr>
      <w:keepNext/>
      <w:numPr>
        <w:ilvl w:val="2"/>
        <w:numId w:val="1"/>
      </w:numPr>
      <w:jc w:val="center"/>
      <w:outlineLvl w:val="2"/>
    </w:pPr>
    <w:rPr>
      <w:rFonts w:eastAsia="Arial Unicode MS"/>
      <w:sz w:val="28"/>
      <w:szCs w:val="28"/>
    </w:rPr>
  </w:style>
  <w:style w:type="paragraph" w:styleId="4">
    <w:name w:val="heading 4"/>
    <w:basedOn w:val="a"/>
    <w:next w:val="a"/>
    <w:link w:val="40"/>
    <w:qFormat/>
    <w:rsid w:val="00FA16BD"/>
    <w:pPr>
      <w:keepNext/>
      <w:numPr>
        <w:ilvl w:val="3"/>
        <w:numId w:val="1"/>
      </w:numPr>
      <w:jc w:val="both"/>
      <w:outlineLvl w:val="3"/>
    </w:pPr>
    <w:rPr>
      <w:rFonts w:eastAsia="Arial Unicode MS"/>
      <w:sz w:val="28"/>
      <w:szCs w:val="28"/>
    </w:rPr>
  </w:style>
  <w:style w:type="paragraph" w:styleId="5">
    <w:name w:val="heading 5"/>
    <w:basedOn w:val="a"/>
    <w:next w:val="a"/>
    <w:link w:val="50"/>
    <w:qFormat/>
    <w:rsid w:val="00FA16BD"/>
    <w:pPr>
      <w:keepNext/>
      <w:widowControl w:val="0"/>
      <w:numPr>
        <w:ilvl w:val="4"/>
        <w:numId w:val="1"/>
      </w:numPr>
      <w:autoSpaceDE w:val="0"/>
      <w:autoSpaceDN w:val="0"/>
      <w:adjustRightInd w:val="0"/>
      <w:jc w:val="center"/>
      <w:outlineLvl w:val="4"/>
    </w:pPr>
    <w:rPr>
      <w:rFonts w:eastAsia="Arial Unicode MS"/>
      <w:sz w:val="28"/>
      <w:szCs w:val="28"/>
    </w:rPr>
  </w:style>
  <w:style w:type="paragraph" w:styleId="6">
    <w:name w:val="heading 6"/>
    <w:basedOn w:val="a"/>
    <w:next w:val="a"/>
    <w:link w:val="60"/>
    <w:qFormat/>
    <w:rsid w:val="00FA16BD"/>
    <w:pPr>
      <w:numPr>
        <w:ilvl w:val="5"/>
        <w:numId w:val="1"/>
      </w:numPr>
      <w:spacing w:before="240" w:after="60"/>
      <w:jc w:val="both"/>
      <w:outlineLvl w:val="5"/>
    </w:pPr>
    <w:rPr>
      <w:rFonts w:eastAsia="Arial Unicode MS"/>
      <w:b/>
      <w:bCs/>
      <w:sz w:val="22"/>
      <w:szCs w:val="22"/>
    </w:rPr>
  </w:style>
  <w:style w:type="paragraph" w:styleId="7">
    <w:name w:val="heading 7"/>
    <w:basedOn w:val="a"/>
    <w:next w:val="a"/>
    <w:link w:val="70"/>
    <w:qFormat/>
    <w:rsid w:val="00FA16BD"/>
    <w:pPr>
      <w:numPr>
        <w:ilvl w:val="6"/>
        <w:numId w:val="1"/>
      </w:numPr>
      <w:spacing w:before="240" w:after="60"/>
      <w:jc w:val="both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qFormat/>
    <w:rsid w:val="00FA16BD"/>
    <w:pPr>
      <w:numPr>
        <w:ilvl w:val="7"/>
        <w:numId w:val="1"/>
      </w:numPr>
      <w:spacing w:before="240" w:after="60"/>
      <w:jc w:val="both"/>
      <w:outlineLvl w:val="7"/>
    </w:pPr>
    <w:rPr>
      <w:i/>
      <w:iCs/>
      <w:sz w:val="24"/>
      <w:szCs w:val="24"/>
    </w:rPr>
  </w:style>
  <w:style w:type="paragraph" w:styleId="9">
    <w:name w:val="heading 9"/>
    <w:basedOn w:val="a"/>
    <w:next w:val="a"/>
    <w:link w:val="90"/>
    <w:qFormat/>
    <w:rsid w:val="00FA16BD"/>
    <w:pPr>
      <w:numPr>
        <w:ilvl w:val="8"/>
        <w:numId w:val="1"/>
      </w:numPr>
      <w:spacing w:before="240" w:after="60"/>
      <w:jc w:val="both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A16BD"/>
    <w:rPr>
      <w:rFonts w:ascii="Times New Roman" w:eastAsia="Arial Unicode MS" w:hAnsi="Times New Roman" w:cs="Times New Roman"/>
      <w:b/>
      <w:bCs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FA16BD"/>
    <w:rPr>
      <w:rFonts w:ascii="Times New Roman" w:eastAsia="Arial Unicode MS" w:hAnsi="Times New Roman" w:cs="Times New Roman"/>
      <w:b/>
      <w:b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FA16BD"/>
    <w:rPr>
      <w:rFonts w:ascii="Times New Roman" w:eastAsia="Arial Unicode MS" w:hAnsi="Times New Roman" w:cs="Times New Roman"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FA16BD"/>
    <w:rPr>
      <w:rFonts w:ascii="Times New Roman" w:eastAsia="Arial Unicode MS" w:hAnsi="Times New Roman" w:cs="Times New Roman"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FA16BD"/>
    <w:rPr>
      <w:rFonts w:ascii="Times New Roman" w:eastAsia="Arial Unicode MS" w:hAnsi="Times New Roman" w:cs="Times New Roman"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FA16BD"/>
    <w:rPr>
      <w:rFonts w:ascii="Times New Roman" w:eastAsia="Arial Unicode MS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FA16B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FA16BD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FA16BD"/>
    <w:rPr>
      <w:rFonts w:ascii="Arial" w:eastAsia="Times New Roman" w:hAnsi="Arial" w:cs="Arial"/>
      <w:lang w:eastAsia="ru-RU"/>
    </w:rPr>
  </w:style>
  <w:style w:type="paragraph" w:styleId="21">
    <w:name w:val="Body Text Indent 2"/>
    <w:basedOn w:val="a"/>
    <w:link w:val="22"/>
    <w:rsid w:val="00FA16BD"/>
    <w:pPr>
      <w:autoSpaceDE w:val="0"/>
      <w:autoSpaceDN w:val="0"/>
      <w:adjustRightInd w:val="0"/>
      <w:ind w:firstLine="567"/>
    </w:pPr>
    <w:rPr>
      <w:rFonts w:ascii="AntiquaPSCyr-Regular" w:hAnsi="AntiquaPSCyr-Regular"/>
      <w:color w:val="231F20"/>
      <w:sz w:val="22"/>
      <w:szCs w:val="22"/>
    </w:rPr>
  </w:style>
  <w:style w:type="character" w:customStyle="1" w:styleId="22">
    <w:name w:val="Основной текст с отступом 2 Знак"/>
    <w:basedOn w:val="a0"/>
    <w:link w:val="21"/>
    <w:rsid w:val="00FA16BD"/>
    <w:rPr>
      <w:rFonts w:ascii="AntiquaPSCyr-Regular" w:eastAsia="Times New Roman" w:hAnsi="AntiquaPSCyr-Regular" w:cs="Times New Roman"/>
      <w:color w:val="231F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wmf"/><Relationship Id="rId18" Type="http://schemas.openxmlformats.org/officeDocument/2006/relationships/image" Target="media/image6.wmf"/><Relationship Id="rId26" Type="http://schemas.openxmlformats.org/officeDocument/2006/relationships/oleObject" Target="embeddings/oleObject14.bin"/><Relationship Id="rId39" Type="http://schemas.openxmlformats.org/officeDocument/2006/relationships/image" Target="media/image15.wmf"/><Relationship Id="rId21" Type="http://schemas.openxmlformats.org/officeDocument/2006/relationships/image" Target="media/image7.wmf"/><Relationship Id="rId34" Type="http://schemas.openxmlformats.org/officeDocument/2006/relationships/image" Target="media/image12.wmf"/><Relationship Id="rId42" Type="http://schemas.openxmlformats.org/officeDocument/2006/relationships/image" Target="media/image17.wmf"/><Relationship Id="rId47" Type="http://schemas.openxmlformats.org/officeDocument/2006/relationships/oleObject" Target="embeddings/oleObject24.bin"/><Relationship Id="rId50" Type="http://schemas.openxmlformats.org/officeDocument/2006/relationships/oleObject" Target="embeddings/oleObject26.bin"/><Relationship Id="rId55" Type="http://schemas.openxmlformats.org/officeDocument/2006/relationships/oleObject" Target="embeddings/oleObject29.bin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6" Type="http://schemas.openxmlformats.org/officeDocument/2006/relationships/oleObject" Target="embeddings/oleObject7.bin"/><Relationship Id="rId29" Type="http://schemas.openxmlformats.org/officeDocument/2006/relationships/image" Target="media/image9.wmf"/><Relationship Id="rId11" Type="http://schemas.openxmlformats.org/officeDocument/2006/relationships/oleObject" Target="embeddings/oleObject4.bin"/><Relationship Id="rId24" Type="http://schemas.openxmlformats.org/officeDocument/2006/relationships/oleObject" Target="embeddings/oleObject12.bin"/><Relationship Id="rId32" Type="http://schemas.openxmlformats.org/officeDocument/2006/relationships/image" Target="media/image11.wmf"/><Relationship Id="rId37" Type="http://schemas.openxmlformats.org/officeDocument/2006/relationships/image" Target="media/image14.wmf"/><Relationship Id="rId40" Type="http://schemas.openxmlformats.org/officeDocument/2006/relationships/oleObject" Target="embeddings/oleObject21.bin"/><Relationship Id="rId45" Type="http://schemas.openxmlformats.org/officeDocument/2006/relationships/oleObject" Target="embeddings/oleObject23.bin"/><Relationship Id="rId53" Type="http://schemas.openxmlformats.org/officeDocument/2006/relationships/oleObject" Target="embeddings/oleObject28.bin"/><Relationship Id="rId58" Type="http://schemas.openxmlformats.org/officeDocument/2006/relationships/oleObject" Target="embeddings/oleObject31.bin"/><Relationship Id="rId5" Type="http://schemas.openxmlformats.org/officeDocument/2006/relationships/image" Target="media/image1.wmf"/><Relationship Id="rId61" Type="http://schemas.openxmlformats.org/officeDocument/2006/relationships/fontTable" Target="fontTable.xml"/><Relationship Id="rId19" Type="http://schemas.openxmlformats.org/officeDocument/2006/relationships/oleObject" Target="embeddings/oleObject9.bin"/><Relationship Id="rId14" Type="http://schemas.openxmlformats.org/officeDocument/2006/relationships/oleObject" Target="embeddings/oleObject6.bin"/><Relationship Id="rId22" Type="http://schemas.openxmlformats.org/officeDocument/2006/relationships/oleObject" Target="embeddings/oleObject11.bin"/><Relationship Id="rId27" Type="http://schemas.openxmlformats.org/officeDocument/2006/relationships/oleObject" Target="embeddings/oleObject15.bin"/><Relationship Id="rId30" Type="http://schemas.openxmlformats.org/officeDocument/2006/relationships/oleObject" Target="embeddings/oleObject17.bin"/><Relationship Id="rId35" Type="http://schemas.openxmlformats.org/officeDocument/2006/relationships/oleObject" Target="embeddings/oleObject19.bin"/><Relationship Id="rId43" Type="http://schemas.openxmlformats.org/officeDocument/2006/relationships/oleObject" Target="embeddings/oleObject22.bin"/><Relationship Id="rId48" Type="http://schemas.openxmlformats.org/officeDocument/2006/relationships/oleObject" Target="embeddings/oleObject25.bin"/><Relationship Id="rId56" Type="http://schemas.openxmlformats.org/officeDocument/2006/relationships/image" Target="media/image23.wmf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7.bin"/><Relationship Id="rId3" Type="http://schemas.openxmlformats.org/officeDocument/2006/relationships/settings" Target="settings.xml"/><Relationship Id="rId12" Type="http://schemas.openxmlformats.org/officeDocument/2006/relationships/oleObject" Target="embeddings/oleObject5.bin"/><Relationship Id="rId17" Type="http://schemas.openxmlformats.org/officeDocument/2006/relationships/oleObject" Target="embeddings/oleObject8.bin"/><Relationship Id="rId25" Type="http://schemas.openxmlformats.org/officeDocument/2006/relationships/oleObject" Target="embeddings/oleObject13.bin"/><Relationship Id="rId33" Type="http://schemas.openxmlformats.org/officeDocument/2006/relationships/oleObject" Target="embeddings/oleObject18.bin"/><Relationship Id="rId38" Type="http://schemas.openxmlformats.org/officeDocument/2006/relationships/oleObject" Target="embeddings/oleObject20.bin"/><Relationship Id="rId46" Type="http://schemas.openxmlformats.org/officeDocument/2006/relationships/image" Target="media/image19.wmf"/><Relationship Id="rId59" Type="http://schemas.openxmlformats.org/officeDocument/2006/relationships/oleObject" Target="embeddings/oleObject32.bin"/><Relationship Id="rId20" Type="http://schemas.openxmlformats.org/officeDocument/2006/relationships/oleObject" Target="embeddings/oleObject10.bin"/><Relationship Id="rId41" Type="http://schemas.openxmlformats.org/officeDocument/2006/relationships/image" Target="media/image16.png"/><Relationship Id="rId54" Type="http://schemas.openxmlformats.org/officeDocument/2006/relationships/image" Target="media/image22.wmf"/><Relationship Id="rId62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image" Target="media/image5.wmf"/><Relationship Id="rId23" Type="http://schemas.openxmlformats.org/officeDocument/2006/relationships/image" Target="media/image8.wmf"/><Relationship Id="rId28" Type="http://schemas.openxmlformats.org/officeDocument/2006/relationships/oleObject" Target="embeddings/oleObject16.bin"/><Relationship Id="rId36" Type="http://schemas.openxmlformats.org/officeDocument/2006/relationships/image" Target="media/image13.png"/><Relationship Id="rId49" Type="http://schemas.openxmlformats.org/officeDocument/2006/relationships/image" Target="media/image20.wmf"/><Relationship Id="rId57" Type="http://schemas.openxmlformats.org/officeDocument/2006/relationships/oleObject" Target="embeddings/oleObject30.bin"/><Relationship Id="rId10" Type="http://schemas.openxmlformats.org/officeDocument/2006/relationships/oleObject" Target="embeddings/oleObject3.bin"/><Relationship Id="rId31" Type="http://schemas.openxmlformats.org/officeDocument/2006/relationships/image" Target="media/image10.png"/><Relationship Id="rId44" Type="http://schemas.openxmlformats.org/officeDocument/2006/relationships/image" Target="media/image18.wmf"/><Relationship Id="rId52" Type="http://schemas.openxmlformats.org/officeDocument/2006/relationships/image" Target="media/image21.wmf"/><Relationship Id="rId60" Type="http://schemas.openxmlformats.org/officeDocument/2006/relationships/oleObject" Target="embeddings/oleObject33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905</Words>
  <Characters>5165</Characters>
  <Application>Microsoft Office Word</Application>
  <DocSecurity>0</DocSecurity>
  <Lines>43</Lines>
  <Paragraphs>12</Paragraphs>
  <ScaleCrop>false</ScaleCrop>
  <Company/>
  <LinksUpToDate>false</LinksUpToDate>
  <CharactersWithSpaces>6058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Евгений Варавин</dc:creator>
  <cp:keywords/>
  <dc:description/>
  <cp:lastModifiedBy>Евгений Варавин</cp:lastModifiedBy>
  <cp:revision>1</cp:revision>
  <dcterms:created xsi:type="dcterms:W3CDTF">2013-01-31T18:37:00Z</dcterms:created>
  <dcterms:modified xsi:type="dcterms:W3CDTF">2013-01-31T18:39:00Z</dcterms:modified>
</cp:coreProperties>
</file>